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237E5" w14:textId="0720804B" w:rsidR="00FA12FF" w:rsidRPr="00967290" w:rsidRDefault="00124D6A" w:rsidP="00967290">
      <w:pPr>
        <w:pStyle w:val="BodyText"/>
        <w:tabs>
          <w:tab w:val="right" w:pos="9990"/>
        </w:tabs>
        <w:spacing w:before="67"/>
        <w:ind w:left="120"/>
        <w:rPr>
          <w:rFonts w:ascii="Calibri" w:hAnsi="Calibri" w:cs="Calibri"/>
          <w:sz w:val="26"/>
          <w:szCs w:val="26"/>
        </w:rPr>
      </w:pPr>
      <w:r w:rsidRPr="00967290">
        <w:rPr>
          <w:rFonts w:ascii="Calibri" w:hAnsi="Calibri" w:cs="Calibri"/>
          <w:sz w:val="26"/>
          <w:szCs w:val="26"/>
        </w:rPr>
        <w:t>Tên Người ghi danh:</w:t>
      </w:r>
      <w:r w:rsidRPr="00967290">
        <w:rPr>
          <w:rFonts w:ascii="Calibri" w:hAnsi="Calibri" w:cs="Calibri"/>
          <w:sz w:val="26"/>
          <w:szCs w:val="26"/>
          <w:u w:val="single"/>
        </w:rPr>
        <w:tab/>
      </w:r>
      <w:r w:rsidRPr="00967290">
        <w:rPr>
          <w:rFonts w:ascii="Calibri" w:hAnsi="Calibri" w:cs="Calibri"/>
          <w:sz w:val="26"/>
          <w:szCs w:val="26"/>
        </w:rPr>
        <w:t>(không bắt buộc)</w:t>
      </w:r>
    </w:p>
    <w:p w14:paraId="5867128C" w14:textId="77777777" w:rsidR="00FA12FF" w:rsidRPr="00967290" w:rsidRDefault="00FA12FF">
      <w:pPr>
        <w:pStyle w:val="BodyText"/>
        <w:spacing w:before="10"/>
        <w:rPr>
          <w:rFonts w:ascii="Calibri" w:hAnsi="Calibri" w:cs="Calibri"/>
          <w:sz w:val="26"/>
          <w:szCs w:val="26"/>
        </w:rPr>
      </w:pPr>
    </w:p>
    <w:p w14:paraId="053F7435" w14:textId="3279FA18" w:rsidR="00FA12FF" w:rsidRPr="00967290" w:rsidRDefault="00124D6A" w:rsidP="00967290">
      <w:pPr>
        <w:pStyle w:val="BodyText"/>
        <w:tabs>
          <w:tab w:val="right" w:pos="9990"/>
        </w:tabs>
        <w:ind w:left="120"/>
        <w:rPr>
          <w:rFonts w:ascii="Calibri" w:hAnsi="Calibri" w:cs="Calibri"/>
          <w:sz w:val="26"/>
          <w:szCs w:val="26"/>
        </w:rPr>
      </w:pPr>
      <w:r w:rsidRPr="00967290">
        <w:rPr>
          <w:rFonts w:ascii="Calibri" w:hAnsi="Calibri" w:cs="Calibri"/>
          <w:sz w:val="26"/>
          <w:szCs w:val="26"/>
        </w:rPr>
        <w:t>Số thuốc và toa thuốc:</w:t>
      </w:r>
      <w:r w:rsidRPr="00967290">
        <w:rPr>
          <w:rFonts w:ascii="Calibri" w:hAnsi="Calibri" w:cs="Calibri"/>
          <w:sz w:val="26"/>
          <w:szCs w:val="26"/>
          <w:u w:val="single"/>
        </w:rPr>
        <w:tab/>
      </w:r>
      <w:r w:rsidRPr="00967290">
        <w:rPr>
          <w:rFonts w:ascii="Calibri" w:hAnsi="Calibri" w:cs="Calibri"/>
          <w:sz w:val="26"/>
          <w:szCs w:val="26"/>
        </w:rPr>
        <w:t>(không bắt buộc)</w:t>
      </w:r>
    </w:p>
    <w:p w14:paraId="6E59C595" w14:textId="77777777" w:rsidR="00FA12FF" w:rsidRDefault="00FA12FF">
      <w:pPr>
        <w:pStyle w:val="BodyText"/>
        <w:rPr>
          <w:rFonts w:ascii="Calibri" w:hAnsi="Calibri" w:cs="Calibri"/>
          <w:sz w:val="18"/>
          <w:szCs w:val="22"/>
          <w:lang w:val="en-US"/>
        </w:rPr>
      </w:pPr>
    </w:p>
    <w:p w14:paraId="167CD74B" w14:textId="4FE88AE2" w:rsidR="00FA12FF" w:rsidRPr="00E94147" w:rsidRDefault="00124D6A" w:rsidP="00E94147">
      <w:pPr>
        <w:pStyle w:val="Title"/>
        <w:spacing w:before="200"/>
        <w:ind w:left="86" w:right="29"/>
        <w:rPr>
          <w:rFonts w:ascii="Calibri" w:hAnsi="Calibri" w:cs="Calibri"/>
          <w:sz w:val="31"/>
          <w:szCs w:val="31"/>
        </w:rPr>
      </w:pPr>
      <w:r w:rsidRPr="00E94147">
        <w:rPr>
          <w:rFonts w:ascii="Calibri" w:hAnsi="Calibri" w:cs="Calibri"/>
          <w:sz w:val="31"/>
          <w:szCs w:val="31"/>
        </w:rPr>
        <w:t>Bảo hiểm thuốc Medicare và Quyền lợi của Quý vị</w:t>
      </w:r>
    </w:p>
    <w:p w14:paraId="4E5C16BC" w14:textId="77777777" w:rsidR="00FA12FF" w:rsidRPr="00DD6A33" w:rsidRDefault="00FA12FF">
      <w:pPr>
        <w:pStyle w:val="BodyText"/>
        <w:spacing w:before="10"/>
        <w:rPr>
          <w:rFonts w:ascii="Calibri" w:hAnsi="Calibri" w:cs="Calibri"/>
          <w:b/>
          <w:sz w:val="22"/>
          <w:szCs w:val="22"/>
        </w:rPr>
      </w:pPr>
    </w:p>
    <w:p w14:paraId="1C2CFB0E" w14:textId="17F71C9E" w:rsidR="00FA12FF" w:rsidRPr="00967290" w:rsidRDefault="00124D6A" w:rsidP="002A4622">
      <w:pPr>
        <w:spacing w:after="120"/>
        <w:ind w:left="115" w:right="216"/>
        <w:rPr>
          <w:rFonts w:ascii="Calibri" w:hAnsi="Calibri" w:cs="Calibri"/>
          <w:sz w:val="26"/>
          <w:szCs w:val="26"/>
        </w:rPr>
      </w:pPr>
      <w:bookmarkStart w:id="0" w:name="Your_Medicare_rights"/>
      <w:bookmarkEnd w:id="0"/>
      <w:r w:rsidRPr="00967290">
        <w:rPr>
          <w:rFonts w:ascii="Calibri" w:hAnsi="Calibri" w:cs="Calibri"/>
          <w:b/>
          <w:bCs/>
          <w:sz w:val="26"/>
          <w:szCs w:val="26"/>
        </w:rPr>
        <w:t>Quý vị có quyền yêu cầu một quyết định bảo hiểm</w:t>
      </w:r>
      <w:r w:rsidRPr="00967290">
        <w:rPr>
          <w:rFonts w:ascii="Calibri" w:hAnsi="Calibri" w:cs="Calibri"/>
          <w:sz w:val="26"/>
          <w:szCs w:val="26"/>
        </w:rPr>
        <w:t xml:space="preserve"> từ chương trình thuốc Medicare của mình để cung cấp hoặc chi trả cho một loại thuốc mà quý vị cho là nên được đài thọ, cung cấp hoặc tiếp tục. Quý vị cũng có quyền yêu cầu một loại quyết định bảo hiểm đặc biệt gọi là </w:t>
      </w:r>
      <w:r w:rsidRPr="00967290">
        <w:rPr>
          <w:rFonts w:ascii="Calibri" w:hAnsi="Calibri" w:cs="Calibri"/>
          <w:b/>
          <w:bCs/>
          <w:sz w:val="26"/>
          <w:szCs w:val="26"/>
        </w:rPr>
        <w:t>"trường hợp ngoại lệ"</w:t>
      </w:r>
      <w:r w:rsidRPr="00967290">
        <w:rPr>
          <w:rFonts w:ascii="Calibri" w:hAnsi="Calibri" w:cs="Calibri"/>
          <w:sz w:val="26"/>
          <w:szCs w:val="26"/>
        </w:rPr>
        <w:t xml:space="preserve"> nếu quý vị:</w:t>
      </w:r>
    </w:p>
    <w:p w14:paraId="04A7F666" w14:textId="61034B4B" w:rsidR="00FA12FF" w:rsidRPr="00967290" w:rsidRDefault="009D0457">
      <w:pPr>
        <w:pStyle w:val="ListParagraph"/>
        <w:numPr>
          <w:ilvl w:val="0"/>
          <w:numId w:val="2"/>
        </w:numPr>
        <w:tabs>
          <w:tab w:val="left" w:pos="839"/>
          <w:tab w:val="left" w:pos="840"/>
        </w:tabs>
        <w:spacing w:line="237" w:lineRule="auto"/>
        <w:ind w:right="208"/>
        <w:rPr>
          <w:rFonts w:ascii="Calibri" w:hAnsi="Calibri" w:cs="Calibri"/>
          <w:sz w:val="26"/>
          <w:szCs w:val="26"/>
        </w:rPr>
      </w:pPr>
      <w:r w:rsidRPr="00967290">
        <w:rPr>
          <w:rFonts w:ascii="Calibri" w:hAnsi="Calibri" w:cs="Calibri"/>
          <w:sz w:val="26"/>
          <w:szCs w:val="26"/>
        </w:rPr>
        <w:t xml:space="preserve">Cần một loại thuốc không có trong danh sách thuốc được đài thọ trong chương trình của quý vị </w:t>
      </w:r>
    </w:p>
    <w:p w14:paraId="3AA44969" w14:textId="2208BF6B" w:rsidR="00FA12FF" w:rsidRPr="00967290" w:rsidRDefault="009D0457">
      <w:pPr>
        <w:pStyle w:val="ListParagraph"/>
        <w:numPr>
          <w:ilvl w:val="0"/>
          <w:numId w:val="2"/>
        </w:numPr>
        <w:tabs>
          <w:tab w:val="left" w:pos="839"/>
          <w:tab w:val="left" w:pos="840"/>
        </w:tabs>
        <w:ind w:right="588"/>
        <w:rPr>
          <w:rFonts w:ascii="Calibri" w:hAnsi="Calibri" w:cs="Calibri"/>
          <w:sz w:val="26"/>
          <w:szCs w:val="26"/>
        </w:rPr>
      </w:pPr>
      <w:r w:rsidRPr="00967290">
        <w:rPr>
          <w:rFonts w:ascii="Calibri" w:hAnsi="Calibri" w:cs="Calibri"/>
          <w:sz w:val="26"/>
          <w:szCs w:val="26"/>
        </w:rPr>
        <w:t>Tin rằng quy tắc bảo hiểm (như ủy quyền trước hoặc giới hạn số lượng) không nên áp dụng với quý vị vì lý do y tế</w:t>
      </w:r>
    </w:p>
    <w:p w14:paraId="4BA112A1" w14:textId="20467DA9" w:rsidR="00FA12FF" w:rsidRPr="00967290" w:rsidRDefault="009D0457" w:rsidP="00DE7B9C">
      <w:pPr>
        <w:pStyle w:val="ListParagraph"/>
        <w:numPr>
          <w:ilvl w:val="0"/>
          <w:numId w:val="2"/>
        </w:numPr>
        <w:tabs>
          <w:tab w:val="left" w:pos="839"/>
          <w:tab w:val="left" w:pos="840"/>
        </w:tabs>
        <w:spacing w:line="288" w:lineRule="exact"/>
        <w:ind w:right="320"/>
        <w:rPr>
          <w:rFonts w:ascii="Calibri" w:hAnsi="Calibri" w:cs="Calibri"/>
          <w:sz w:val="26"/>
          <w:szCs w:val="26"/>
        </w:rPr>
      </w:pPr>
      <w:r w:rsidRPr="00967290">
        <w:rPr>
          <w:rFonts w:ascii="Calibri" w:hAnsi="Calibri" w:cs="Calibri"/>
          <w:sz w:val="26"/>
          <w:szCs w:val="26"/>
        </w:rPr>
        <w:t>Cần sử dụng một loại thuốc không ưu tiên và muốn chương trình chi trả cho loại thuốc đó với giá thuốc ưu tiên</w:t>
      </w:r>
    </w:p>
    <w:p w14:paraId="2E9639FE" w14:textId="27193639" w:rsidR="00FA12FF" w:rsidRPr="00967290" w:rsidRDefault="005C0886" w:rsidP="00967290">
      <w:pPr>
        <w:pStyle w:val="Heading1"/>
        <w:spacing w:before="120" w:after="120"/>
        <w:ind w:left="115"/>
        <w:rPr>
          <w:rFonts w:ascii="Calibri" w:hAnsi="Calibri" w:cs="Calibri"/>
          <w:sz w:val="26"/>
          <w:szCs w:val="26"/>
        </w:rPr>
      </w:pPr>
      <w:bookmarkStart w:id="1" w:name="What_you_need_to_do"/>
      <w:bookmarkEnd w:id="1"/>
      <w:r w:rsidRPr="00967290">
        <w:rPr>
          <w:rFonts w:ascii="Calibri" w:hAnsi="Calibri" w:cs="Calibri"/>
          <w:sz w:val="26"/>
          <w:szCs w:val="26"/>
        </w:rPr>
        <w:t>Cách yêu cầu một quyết định bảo hiểm</w:t>
      </w:r>
    </w:p>
    <w:p w14:paraId="7D02E5F1" w14:textId="6D2EC170" w:rsidR="005C0886" w:rsidRPr="00967290" w:rsidRDefault="005C0886" w:rsidP="00DE7B9C">
      <w:pPr>
        <w:pStyle w:val="BodyText"/>
        <w:spacing w:before="120" w:after="120"/>
        <w:ind w:left="120" w:right="197"/>
        <w:rPr>
          <w:rFonts w:ascii="Calibri" w:hAnsi="Calibri" w:cs="Calibri"/>
          <w:sz w:val="26"/>
          <w:szCs w:val="26"/>
        </w:rPr>
      </w:pPr>
      <w:r w:rsidRPr="00967290">
        <w:rPr>
          <w:rFonts w:ascii="Calibri" w:hAnsi="Calibri" w:cs="Calibri"/>
          <w:sz w:val="26"/>
          <w:szCs w:val="26"/>
        </w:rPr>
        <w:t xml:space="preserve">Để yêu cầu một quyết định bảo hiểm, quý vị hoặc bác sĩ kê đơn của quý vị có thể gọi số điện thoại miễn phí của chương trình thuốc Medicare của quý vị trên mặt sau thẻ thành viên của chương trình, hoặc truy cập trang web của chương trình. Quý vị có thể yêu cầu một quyết định khẩn cấp (trong vòng 24 giờ) nếu sức khỏe của quý vị có thể bị tổn hại nghiêm trọng do phải chờ đến 72 giờ để có quyết định. </w:t>
      </w:r>
    </w:p>
    <w:p w14:paraId="6706DA70" w14:textId="7F63CC2B" w:rsidR="00FA12FF" w:rsidRPr="00967290" w:rsidRDefault="00124D6A" w:rsidP="00DE7B9C">
      <w:pPr>
        <w:pStyle w:val="BodyText"/>
        <w:spacing w:before="120" w:after="120"/>
        <w:ind w:left="115" w:right="202"/>
        <w:rPr>
          <w:rFonts w:ascii="Calibri" w:hAnsi="Calibri" w:cs="Calibri"/>
          <w:sz w:val="26"/>
          <w:szCs w:val="26"/>
        </w:rPr>
      </w:pPr>
      <w:r w:rsidRPr="00967290">
        <w:rPr>
          <w:rFonts w:ascii="Calibri" w:hAnsi="Calibri" w:cs="Calibri"/>
          <w:sz w:val="26"/>
          <w:szCs w:val="26"/>
        </w:rPr>
        <w:t>Hãy sẵn sàng thông báo với chương trình thuốc Medicare của quý vị:</w:t>
      </w:r>
    </w:p>
    <w:p w14:paraId="0CF6E863" w14:textId="0DC9059F" w:rsidR="00FA12FF" w:rsidRPr="00967290" w:rsidRDefault="00124D6A" w:rsidP="00DE7B9C">
      <w:pPr>
        <w:pStyle w:val="ListParagraph"/>
        <w:numPr>
          <w:ilvl w:val="0"/>
          <w:numId w:val="3"/>
        </w:numPr>
        <w:tabs>
          <w:tab w:val="left" w:pos="840"/>
        </w:tabs>
        <w:rPr>
          <w:rFonts w:ascii="Calibri" w:hAnsi="Calibri" w:cs="Calibri"/>
          <w:sz w:val="26"/>
          <w:szCs w:val="26"/>
        </w:rPr>
      </w:pPr>
      <w:r w:rsidRPr="00967290">
        <w:rPr>
          <w:rFonts w:ascii="Calibri" w:hAnsi="Calibri" w:cs="Calibri"/>
          <w:sz w:val="26"/>
          <w:szCs w:val="26"/>
        </w:rPr>
        <w:t>Tên loại thuốc kê đơn, bao gồm liều lượng và nồng độ (nếu biết)</w:t>
      </w:r>
    </w:p>
    <w:p w14:paraId="773DCE71" w14:textId="1E503D07" w:rsidR="00FA12FF" w:rsidRPr="00967290" w:rsidRDefault="00124D6A" w:rsidP="00DE7B9C">
      <w:pPr>
        <w:pStyle w:val="ListParagraph"/>
        <w:numPr>
          <w:ilvl w:val="0"/>
          <w:numId w:val="3"/>
        </w:numPr>
        <w:tabs>
          <w:tab w:val="left" w:pos="840"/>
        </w:tabs>
        <w:rPr>
          <w:rFonts w:ascii="Calibri" w:hAnsi="Calibri" w:cs="Calibri"/>
          <w:sz w:val="26"/>
          <w:szCs w:val="26"/>
        </w:rPr>
      </w:pPr>
      <w:r w:rsidRPr="00967290">
        <w:rPr>
          <w:rFonts w:ascii="Calibri" w:hAnsi="Calibri" w:cs="Calibri"/>
          <w:sz w:val="26"/>
          <w:szCs w:val="26"/>
        </w:rPr>
        <w:t>Tên của nhà thuốc đã cung cấp thuốc kê đơn</w:t>
      </w:r>
    </w:p>
    <w:p w14:paraId="1925B2E6" w14:textId="12BA66D3" w:rsidR="00FA12FF" w:rsidRPr="00967290" w:rsidRDefault="00124D6A" w:rsidP="00DE7B9C">
      <w:pPr>
        <w:pStyle w:val="ListParagraph"/>
        <w:numPr>
          <w:ilvl w:val="0"/>
          <w:numId w:val="3"/>
        </w:numPr>
        <w:tabs>
          <w:tab w:val="left" w:pos="840"/>
        </w:tabs>
        <w:rPr>
          <w:rFonts w:ascii="Calibri" w:hAnsi="Calibri" w:cs="Calibri"/>
          <w:sz w:val="26"/>
          <w:szCs w:val="26"/>
        </w:rPr>
      </w:pPr>
      <w:r w:rsidRPr="00967290">
        <w:rPr>
          <w:rFonts w:ascii="Calibri" w:hAnsi="Calibri" w:cs="Calibri"/>
          <w:sz w:val="26"/>
          <w:szCs w:val="26"/>
        </w:rPr>
        <w:t>Ngày mà quý vị cố gắng lấy thuốc kê đơn</w:t>
      </w:r>
    </w:p>
    <w:p w14:paraId="564CE01E" w14:textId="3FD6345A" w:rsidR="00FA12FF" w:rsidRPr="00967290" w:rsidRDefault="00124D6A" w:rsidP="00DE7B9C">
      <w:pPr>
        <w:pStyle w:val="ListParagraph"/>
        <w:numPr>
          <w:ilvl w:val="0"/>
          <w:numId w:val="3"/>
        </w:numPr>
        <w:tabs>
          <w:tab w:val="left" w:pos="840"/>
        </w:tabs>
        <w:ind w:right="506"/>
        <w:rPr>
          <w:rFonts w:ascii="Calibri" w:hAnsi="Calibri" w:cs="Calibri"/>
          <w:sz w:val="26"/>
          <w:szCs w:val="26"/>
        </w:rPr>
      </w:pPr>
      <w:r w:rsidRPr="00967290">
        <w:rPr>
          <w:rFonts w:ascii="Calibri" w:hAnsi="Calibri" w:cs="Calibri"/>
          <w:sz w:val="26"/>
          <w:szCs w:val="26"/>
        </w:rPr>
        <w:t>Nếu quý vị yêu cầu một trường hợp ngoại lệ, bác sĩ kê đơn của quý vị sẽ cần giải thích lý do tại sao quý vị cần loại thuốc ngoài danh mục hoặc không ưu tiên, hoặc tại sao quy tắc bảo hiểm không được áp dụng cho quý vị.</w:t>
      </w:r>
    </w:p>
    <w:p w14:paraId="5E3ED270" w14:textId="77777777" w:rsidR="00FA12FF" w:rsidRPr="00DD6A33" w:rsidRDefault="00FA12FF" w:rsidP="00E94147">
      <w:pPr>
        <w:pStyle w:val="BodyText"/>
        <w:spacing w:line="240" w:lineRule="exact"/>
        <w:rPr>
          <w:rFonts w:ascii="Calibri" w:hAnsi="Calibri" w:cs="Calibri"/>
        </w:rPr>
      </w:pPr>
    </w:p>
    <w:p w14:paraId="50D9648C" w14:textId="79F5766F" w:rsidR="00350143" w:rsidRPr="00967290" w:rsidRDefault="00124D6A" w:rsidP="00C3156A">
      <w:pPr>
        <w:pStyle w:val="BodyText"/>
        <w:ind w:left="120" w:right="618"/>
        <w:rPr>
          <w:rFonts w:ascii="Calibri" w:hAnsi="Calibri" w:cs="Calibri"/>
          <w:sz w:val="26"/>
          <w:szCs w:val="26"/>
        </w:rPr>
      </w:pPr>
      <w:r w:rsidRPr="00967290">
        <w:rPr>
          <w:rFonts w:ascii="Calibri" w:hAnsi="Calibri" w:cs="Calibri"/>
          <w:sz w:val="26"/>
          <w:szCs w:val="26"/>
        </w:rPr>
        <w:t>Chương trình thuốc Medicare của quý vị sẽ gửi cho quý vị một quyết định bằng văn bản. Nếu bảo hiểm không được phê duyệt và quý vị không đồng ý với quyết định này, quý vị có quyền kháng nghị. Thông báo của chương trình sẽ giải thích lý do bảo hiểm bị từ chối và cách yêu cầu kháng nghị.</w:t>
      </w:r>
    </w:p>
    <w:p w14:paraId="63EF4598" w14:textId="6CC6AD4B" w:rsidR="00350143" w:rsidRPr="00967290" w:rsidRDefault="00350143" w:rsidP="002A4622">
      <w:pPr>
        <w:pStyle w:val="Heading1"/>
        <w:spacing w:before="240" w:after="120"/>
        <w:ind w:left="115"/>
        <w:rPr>
          <w:rFonts w:ascii="Calibri" w:hAnsi="Calibri" w:cs="Calibri"/>
          <w:sz w:val="26"/>
          <w:szCs w:val="26"/>
        </w:rPr>
      </w:pPr>
      <w:r w:rsidRPr="00967290">
        <w:rPr>
          <w:rFonts w:ascii="Calibri" w:hAnsi="Calibri" w:cs="Calibri"/>
          <w:sz w:val="26"/>
          <w:szCs w:val="26"/>
        </w:rPr>
        <w:t>Nhận trợ giúp và thêm thông tin</w:t>
      </w:r>
    </w:p>
    <w:p w14:paraId="166B885A" w14:textId="1EFCBB59" w:rsidR="00B37CD7" w:rsidRPr="00DD6A33" w:rsidRDefault="00350143" w:rsidP="00967290">
      <w:pPr>
        <w:pStyle w:val="BodyText"/>
        <w:ind w:left="120"/>
        <w:rPr>
          <w:rFonts w:ascii="Calibri" w:hAnsi="Calibri" w:cs="Calibri"/>
        </w:rPr>
      </w:pPr>
      <w:r w:rsidRPr="00967290">
        <w:rPr>
          <w:rFonts w:ascii="Calibri" w:hAnsi="Calibri" w:cs="Calibri"/>
          <w:sz w:val="26"/>
          <w:szCs w:val="26"/>
        </w:rPr>
        <w:t xml:space="preserve">Xem tài liệu chương trình của quý vị hoặc gọi theo số 1-800-MEDICARE (1-800-633-4227) để biết thêm thông tin về cách yêu cầu một quyết định bảo hiểm. Người dùng TTY có thể gọi theo số 1-877-486-2048. Để được hỗ trợ liên lạc với chương trình của quý vị, vui lòng gọi số </w:t>
      </w:r>
      <w:r w:rsidR="00967290">
        <w:rPr>
          <w:rFonts w:ascii="Calibri" w:hAnsi="Calibri" w:cs="Calibri"/>
          <w:sz w:val="26"/>
          <w:szCs w:val="26"/>
          <w:lang w:val="en-US"/>
        </w:rPr>
        <w:br/>
      </w:r>
      <w:r w:rsidRPr="00967290">
        <w:rPr>
          <w:rFonts w:ascii="Calibri" w:hAnsi="Calibri" w:cs="Calibri"/>
          <w:sz w:val="26"/>
          <w:szCs w:val="26"/>
        </w:rPr>
        <w:t>1-800-MEDICARE.</w:t>
      </w:r>
      <w:r w:rsidR="00B37CD7" w:rsidRPr="00DD6A33">
        <w:rPr>
          <w:rFonts w:ascii="Calibri" w:hAnsi="Calibri" w:cs="Calibri"/>
        </w:rPr>
        <w:br w:type="page"/>
      </w:r>
    </w:p>
    <w:p w14:paraId="5D7DBB90" w14:textId="77777777" w:rsidR="00FA12FF" w:rsidRPr="00DD6A33" w:rsidRDefault="00FA12FF">
      <w:pPr>
        <w:pStyle w:val="BodyText"/>
        <w:spacing w:before="2"/>
        <w:rPr>
          <w:rFonts w:ascii="Calibri" w:hAnsi="Calibri" w:cs="Calibri"/>
        </w:rPr>
      </w:pPr>
    </w:p>
    <w:p w14:paraId="782423D0" w14:textId="6ED1F5CE" w:rsidR="00E51065" w:rsidRPr="00967290" w:rsidRDefault="00350143" w:rsidP="00E51065">
      <w:pPr>
        <w:pStyle w:val="BodyText"/>
        <w:ind w:left="120"/>
        <w:rPr>
          <w:rFonts w:ascii="Calibri" w:hAnsi="Calibri" w:cs="Calibri"/>
          <w:sz w:val="26"/>
          <w:szCs w:val="26"/>
        </w:rPr>
      </w:pPr>
      <w:r w:rsidRPr="00967290">
        <w:rPr>
          <w:rFonts w:ascii="Calibri" w:hAnsi="Calibri" w:cs="Calibri"/>
          <w:sz w:val="26"/>
          <w:szCs w:val="26"/>
        </w:rPr>
        <w:t xml:space="preserve">Để nhận được mẫu này dưới định dạng dễ tiếp cận (như chữ in lớn, chữ nổi Braille hoặc âm thanh), hãy liên hệ với chương trình thuốc Medicare của quý vị. Quý vị cũng có quyền nộp đơn khiếu nại nếu cảm thấy mình bị phân biệt đối xử. Vui lòng truy cập </w:t>
      </w:r>
      <w:hyperlink r:id="rId7" w:history="1">
        <w:r w:rsidRPr="00D6585F">
          <w:rPr>
            <w:rStyle w:val="Hyperlink"/>
            <w:rFonts w:ascii="Calibri" w:hAnsi="Calibri" w:cs="Calibri"/>
            <w:color w:val="auto"/>
            <w:sz w:val="26"/>
            <w:szCs w:val="26"/>
            <w:u w:val="none"/>
          </w:rPr>
          <w:t>Medicare.gov/about-us/accessibility-nondiscrimination-notice</w:t>
        </w:r>
      </w:hyperlink>
      <w:r w:rsidRPr="00967290">
        <w:rPr>
          <w:rFonts w:ascii="Calibri" w:hAnsi="Calibri" w:cs="Calibri"/>
          <w:sz w:val="26"/>
          <w:szCs w:val="26"/>
        </w:rPr>
        <w:t>, hoặc gọi số 1-800-MEDICARE (1-800-633-4227) để biết thêm thông tin. Người dùng TTY có thể gọi theo số 1-877-486-2048.</w:t>
      </w:r>
    </w:p>
    <w:p w14:paraId="4D8C7625" w14:textId="77777777" w:rsidR="00B37CD7" w:rsidRPr="00967290" w:rsidRDefault="00B37CD7" w:rsidP="00E51065">
      <w:pPr>
        <w:pStyle w:val="BodyText"/>
        <w:ind w:left="120"/>
        <w:rPr>
          <w:rFonts w:ascii="Calibri" w:hAnsi="Calibri" w:cs="Calibri"/>
          <w:sz w:val="26"/>
          <w:szCs w:val="26"/>
        </w:rPr>
      </w:pPr>
    </w:p>
    <w:p w14:paraId="4EA07681" w14:textId="77777777" w:rsidR="00B37CD7" w:rsidRPr="00DD6A33" w:rsidRDefault="00B37CD7" w:rsidP="00E51065">
      <w:pPr>
        <w:pStyle w:val="BodyText"/>
        <w:ind w:left="120"/>
        <w:rPr>
          <w:rFonts w:ascii="Calibri" w:hAnsi="Calibri" w:cs="Calibri"/>
        </w:rPr>
      </w:pPr>
    </w:p>
    <w:p w14:paraId="7C706869" w14:textId="77777777" w:rsidR="00B37CD7" w:rsidRPr="00DD6A33" w:rsidRDefault="00B37CD7" w:rsidP="00E51065">
      <w:pPr>
        <w:pStyle w:val="BodyText"/>
        <w:ind w:left="120"/>
        <w:rPr>
          <w:rFonts w:ascii="Calibri" w:hAnsi="Calibri" w:cs="Calibri"/>
        </w:rPr>
      </w:pPr>
    </w:p>
    <w:p w14:paraId="0ECCB808" w14:textId="15665898" w:rsidR="00FA12FF" w:rsidRPr="00967290" w:rsidRDefault="00124D6A" w:rsidP="002A4622">
      <w:pPr>
        <w:tabs>
          <w:tab w:val="left" w:pos="6120"/>
        </w:tabs>
        <w:spacing w:before="223"/>
        <w:ind w:left="120"/>
        <w:jc w:val="both"/>
        <w:rPr>
          <w:rFonts w:ascii="Calibri" w:hAnsi="Calibri" w:cs="Calibri"/>
        </w:rPr>
      </w:pPr>
      <w:r w:rsidRPr="00967290">
        <w:rPr>
          <w:rFonts w:ascii="Calibri" w:hAnsi="Calibri" w:cs="Calibri"/>
          <w:b/>
        </w:rPr>
        <w:t>Tuyên bố Tiết lộ Thông tin PRA</w:t>
      </w:r>
      <w:r w:rsidRPr="00967290">
        <w:rPr>
          <w:rFonts w:ascii="Calibri" w:hAnsi="Calibri" w:cs="Calibri"/>
        </w:rPr>
        <w:t xml:space="preserve"> Theo Đạo Luật Giảm Thiểu Thủ Tục Giấy Tờ năm 1995, không có người nào được yêu cầu phản hồi việc thu thập thông tin trừ khi việc này hiển thị số kiểm soát OMB hợp lệ. Mã số kiểm soát OMB hợp lệ cho bản thu thập thông tin này là 0938-0975. Thông tin thu thập này được sử dụng để thông báo cho những người ghi danh về cách liên lạc với chương trình Phần D của họ để yêu cầu quyết định bảo hiểm. Thời gian cần để hoàn tất việc thu thập thông tin này được ước lượng trung bình là 1 phút cho mỗi câu trả lời, bao gồm thời gian xem xét các chỉ dẫn, truy tìm các nguồn tài nguyên dữ liệu hiện có, thu thập các dữ liệu cần thiết để xem xét và hoàn tất qua việc thu thập thông tin. Việc thu thập thông tin này là bắt buộc theo § 423.562(a)(3) và quy định liên quan tại § 423.128(b)(7)(iii). Nếu quý vị có các góp ý liên quan tới sự chính xác của (các) ước lượng về thời gian hoặc các đề nghị cải thiện cho mẫu đơn này, xin viết gửi cho: CMS, 7500 Security Boulevard, Attn: PRA Reports Clearance Officer, Mail Stop C4-26-05, Baltimore, Maryland 21244-1850.</w:t>
      </w:r>
    </w:p>
    <w:sectPr w:rsidR="00FA12FF" w:rsidRPr="00967290" w:rsidSect="00DE7B9C">
      <w:footerReference w:type="default" r:id="rId8"/>
      <w:type w:val="continuous"/>
      <w:pgSz w:w="12240" w:h="15840"/>
      <w:pgMar w:top="990" w:right="1080" w:bottom="1440" w:left="1080" w:header="720"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B64D6" w14:textId="77777777" w:rsidR="009E102E" w:rsidRDefault="009E102E" w:rsidP="005816DF">
      <w:r>
        <w:separator/>
      </w:r>
    </w:p>
  </w:endnote>
  <w:endnote w:type="continuationSeparator" w:id="0">
    <w:p w14:paraId="5534B2E4" w14:textId="77777777" w:rsidR="009E102E" w:rsidRDefault="009E102E" w:rsidP="0058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A5157" w14:textId="3916D5AD" w:rsidR="005816DF" w:rsidRPr="002A4622" w:rsidRDefault="00967290" w:rsidP="00967290">
    <w:pPr>
      <w:tabs>
        <w:tab w:val="right" w:pos="9990"/>
      </w:tabs>
      <w:spacing w:before="223"/>
      <w:ind w:left="120"/>
      <w:rPr>
        <w:rFonts w:hAnsi="Verdana"/>
        <w:sz w:val="18"/>
        <w:szCs w:val="20"/>
      </w:rPr>
    </w:pPr>
    <w:r w:rsidRPr="009D0457">
      <w:rPr>
        <w:rFonts w:ascii="Verdana" w:hAnsi="Verdana"/>
        <w:sz w:val="18"/>
        <w:szCs w:val="20"/>
      </w:rPr>
      <w:t>Form</w:t>
    </w:r>
    <w:r w:rsidRPr="009D0457">
      <w:rPr>
        <w:rFonts w:ascii="Verdana" w:hAnsi="Verdana"/>
        <w:spacing w:val="-4"/>
        <w:sz w:val="18"/>
        <w:szCs w:val="20"/>
      </w:rPr>
      <w:t xml:space="preserve"> </w:t>
    </w:r>
    <w:r w:rsidRPr="009D0457">
      <w:rPr>
        <w:rFonts w:ascii="Verdana" w:hAnsi="Verdana"/>
        <w:sz w:val="18"/>
        <w:szCs w:val="20"/>
      </w:rPr>
      <w:t>CMS</w:t>
    </w:r>
    <w:r w:rsidRPr="009D0457">
      <w:rPr>
        <w:rFonts w:ascii="Verdana" w:hAnsi="Verdana"/>
        <w:spacing w:val="-5"/>
        <w:sz w:val="18"/>
        <w:szCs w:val="20"/>
      </w:rPr>
      <w:t xml:space="preserve"> </w:t>
    </w:r>
    <w:r w:rsidRPr="009D0457">
      <w:rPr>
        <w:rFonts w:ascii="Verdana" w:hAnsi="Verdana"/>
        <w:sz w:val="18"/>
        <w:szCs w:val="20"/>
      </w:rPr>
      <w:t>-10147</w:t>
    </w:r>
    <w:r w:rsidR="00D6585F">
      <w:rPr>
        <w:rFonts w:ascii="Verdana" w:hAnsi="Verdana"/>
        <w:sz w:val="18"/>
        <w:szCs w:val="20"/>
        <w:lang w:val="en-US"/>
      </w:rPr>
      <w:t>-V</w:t>
    </w:r>
    <w:r w:rsidR="005816DF">
      <w:rPr>
        <w:rFonts w:hAnsi="Verdana"/>
        <w:sz w:val="18"/>
        <w:szCs w:val="20"/>
      </w:rPr>
      <w:tab/>
    </w:r>
    <w:r w:rsidRPr="009D0457">
      <w:rPr>
        <w:rFonts w:ascii="Verdana" w:hAnsi="Verdana"/>
        <w:w w:val="95"/>
        <w:sz w:val="18"/>
        <w:szCs w:val="20"/>
      </w:rPr>
      <w:t>OMB</w:t>
    </w:r>
    <w:r w:rsidRPr="009D0457">
      <w:rPr>
        <w:rFonts w:ascii="Verdana" w:hAnsi="Verdana"/>
        <w:spacing w:val="28"/>
        <w:w w:val="95"/>
        <w:sz w:val="18"/>
        <w:szCs w:val="20"/>
      </w:rPr>
      <w:t xml:space="preserve"> </w:t>
    </w:r>
    <w:r w:rsidRPr="009D0457">
      <w:rPr>
        <w:rFonts w:ascii="Verdana" w:hAnsi="Verdana"/>
        <w:w w:val="95"/>
        <w:sz w:val="18"/>
        <w:szCs w:val="20"/>
      </w:rPr>
      <w:t>Approval</w:t>
    </w:r>
    <w:r w:rsidRPr="009D0457">
      <w:rPr>
        <w:rFonts w:ascii="Verdana" w:hAnsi="Verdana"/>
        <w:spacing w:val="33"/>
        <w:w w:val="95"/>
        <w:sz w:val="18"/>
        <w:szCs w:val="20"/>
      </w:rPr>
      <w:t xml:space="preserve"> </w:t>
    </w:r>
    <w:r w:rsidRPr="009D0457">
      <w:rPr>
        <w:rFonts w:ascii="Verdana" w:hAnsi="Verdana"/>
        <w:w w:val="95"/>
        <w:sz w:val="18"/>
        <w:szCs w:val="20"/>
      </w:rPr>
      <w:t>No.</w:t>
    </w:r>
    <w:r w:rsidRPr="009D0457">
      <w:rPr>
        <w:rFonts w:ascii="Verdana" w:hAnsi="Verdana"/>
        <w:spacing w:val="29"/>
        <w:w w:val="95"/>
        <w:sz w:val="18"/>
        <w:szCs w:val="20"/>
      </w:rPr>
      <w:t xml:space="preserve"> </w:t>
    </w:r>
    <w:r w:rsidRPr="009D0457">
      <w:rPr>
        <w:rFonts w:ascii="Verdana" w:hAnsi="Verdana"/>
        <w:w w:val="95"/>
        <w:sz w:val="18"/>
        <w:szCs w:val="20"/>
      </w:rPr>
      <w:t>0938-0975</w:t>
    </w:r>
    <w:r w:rsidRPr="009D0457">
      <w:rPr>
        <w:rFonts w:ascii="Verdana" w:hAnsi="Verdana"/>
        <w:spacing w:val="29"/>
        <w:w w:val="95"/>
        <w:sz w:val="18"/>
        <w:szCs w:val="20"/>
      </w:rPr>
      <w:t xml:space="preserve"> </w:t>
    </w:r>
    <w:r w:rsidRPr="009D0457">
      <w:rPr>
        <w:rFonts w:ascii="Verdana" w:hAnsi="Verdana"/>
        <w:w w:val="95"/>
        <w:sz w:val="18"/>
        <w:szCs w:val="20"/>
      </w:rPr>
      <w:t>(Expires:</w:t>
    </w:r>
    <w:r w:rsidRPr="009D0457">
      <w:rPr>
        <w:rFonts w:ascii="Verdana" w:hAnsi="Verdana"/>
        <w:spacing w:val="-2"/>
        <w:w w:val="95"/>
        <w:sz w:val="18"/>
        <w:szCs w:val="20"/>
      </w:rPr>
      <w:t xml:space="preserve"> </w:t>
    </w:r>
    <w:r w:rsidR="005C57EC">
      <w:rPr>
        <w:rFonts w:ascii="Verdana" w:hAnsi="Verdana"/>
        <w:w w:val="95"/>
        <w:sz w:val="18"/>
        <w:szCs w:val="20"/>
        <w:lang w:val="en-US"/>
      </w:rPr>
      <w:t>12/31/2027</w:t>
    </w:r>
    <w:r w:rsidRPr="009D0457">
      <w:rPr>
        <w:rFonts w:ascii="Verdana" w:hAnsi="Verdana"/>
        <w:w w:val="95"/>
        <w:sz w:val="18"/>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EA9E6" w14:textId="77777777" w:rsidR="009E102E" w:rsidRDefault="009E102E" w:rsidP="005816DF">
      <w:r>
        <w:separator/>
      </w:r>
    </w:p>
  </w:footnote>
  <w:footnote w:type="continuationSeparator" w:id="0">
    <w:p w14:paraId="632DE4EA" w14:textId="77777777" w:rsidR="009E102E" w:rsidRDefault="009E102E" w:rsidP="00581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EE5733"/>
    <w:multiLevelType w:val="hybridMultilevel"/>
    <w:tmpl w:val="0074A5E0"/>
    <w:lvl w:ilvl="0" w:tplc="1B4EF11A">
      <w:start w:val="1"/>
      <w:numFmt w:val="decimal"/>
      <w:lvlText w:val="%1."/>
      <w:lvlJc w:val="left"/>
      <w:pPr>
        <w:ind w:left="840" w:hanging="360"/>
        <w:jc w:val="left"/>
      </w:pPr>
      <w:rPr>
        <w:rFonts w:ascii="Times New Roman" w:eastAsia="Times New Roman" w:hAnsi="Times New Roman" w:cs="Times New Roman" w:hint="default"/>
        <w:b w:val="0"/>
        <w:bCs w:val="0"/>
        <w:i w:val="0"/>
        <w:iCs w:val="0"/>
        <w:spacing w:val="-4"/>
        <w:w w:val="98"/>
        <w:sz w:val="24"/>
        <w:szCs w:val="24"/>
        <w:lang w:val="en-US" w:eastAsia="en-US" w:bidi="ar-SA"/>
      </w:rPr>
    </w:lvl>
    <w:lvl w:ilvl="1" w:tplc="10F623BC">
      <w:numFmt w:val="bullet"/>
      <w:lvlText w:val="•"/>
      <w:lvlJc w:val="left"/>
      <w:pPr>
        <w:ind w:left="1850" w:hanging="360"/>
      </w:pPr>
      <w:rPr>
        <w:rFonts w:hint="default"/>
        <w:lang w:val="en-US" w:eastAsia="en-US" w:bidi="ar-SA"/>
      </w:rPr>
    </w:lvl>
    <w:lvl w:ilvl="2" w:tplc="5BC86A68">
      <w:numFmt w:val="bullet"/>
      <w:lvlText w:val="•"/>
      <w:lvlJc w:val="left"/>
      <w:pPr>
        <w:ind w:left="2860" w:hanging="360"/>
      </w:pPr>
      <w:rPr>
        <w:rFonts w:hint="default"/>
        <w:lang w:val="en-US" w:eastAsia="en-US" w:bidi="ar-SA"/>
      </w:rPr>
    </w:lvl>
    <w:lvl w:ilvl="3" w:tplc="96DAB822">
      <w:numFmt w:val="bullet"/>
      <w:lvlText w:val="•"/>
      <w:lvlJc w:val="left"/>
      <w:pPr>
        <w:ind w:left="3870" w:hanging="360"/>
      </w:pPr>
      <w:rPr>
        <w:rFonts w:hint="default"/>
        <w:lang w:val="en-US" w:eastAsia="en-US" w:bidi="ar-SA"/>
      </w:rPr>
    </w:lvl>
    <w:lvl w:ilvl="4" w:tplc="A8568C9C">
      <w:numFmt w:val="bullet"/>
      <w:lvlText w:val="•"/>
      <w:lvlJc w:val="left"/>
      <w:pPr>
        <w:ind w:left="4880" w:hanging="360"/>
      </w:pPr>
      <w:rPr>
        <w:rFonts w:hint="default"/>
        <w:lang w:val="en-US" w:eastAsia="en-US" w:bidi="ar-SA"/>
      </w:rPr>
    </w:lvl>
    <w:lvl w:ilvl="5" w:tplc="CB32E31C">
      <w:numFmt w:val="bullet"/>
      <w:lvlText w:val="•"/>
      <w:lvlJc w:val="left"/>
      <w:pPr>
        <w:ind w:left="5890" w:hanging="360"/>
      </w:pPr>
      <w:rPr>
        <w:rFonts w:hint="default"/>
        <w:lang w:val="en-US" w:eastAsia="en-US" w:bidi="ar-SA"/>
      </w:rPr>
    </w:lvl>
    <w:lvl w:ilvl="6" w:tplc="5E600460">
      <w:numFmt w:val="bullet"/>
      <w:lvlText w:val="•"/>
      <w:lvlJc w:val="left"/>
      <w:pPr>
        <w:ind w:left="6900" w:hanging="360"/>
      </w:pPr>
      <w:rPr>
        <w:rFonts w:hint="default"/>
        <w:lang w:val="en-US" w:eastAsia="en-US" w:bidi="ar-SA"/>
      </w:rPr>
    </w:lvl>
    <w:lvl w:ilvl="7" w:tplc="5694EA08">
      <w:numFmt w:val="bullet"/>
      <w:lvlText w:val="•"/>
      <w:lvlJc w:val="left"/>
      <w:pPr>
        <w:ind w:left="7910" w:hanging="360"/>
      </w:pPr>
      <w:rPr>
        <w:rFonts w:hint="default"/>
        <w:lang w:val="en-US" w:eastAsia="en-US" w:bidi="ar-SA"/>
      </w:rPr>
    </w:lvl>
    <w:lvl w:ilvl="8" w:tplc="B8AEA2B4">
      <w:numFmt w:val="bullet"/>
      <w:lvlText w:val="•"/>
      <w:lvlJc w:val="left"/>
      <w:pPr>
        <w:ind w:left="8920" w:hanging="360"/>
      </w:pPr>
      <w:rPr>
        <w:rFonts w:hint="default"/>
        <w:lang w:val="en-US" w:eastAsia="en-US" w:bidi="ar-SA"/>
      </w:rPr>
    </w:lvl>
  </w:abstractNum>
  <w:abstractNum w:abstractNumId="1" w15:restartNumberingAfterBreak="0">
    <w:nsid w:val="71E417FF"/>
    <w:multiLevelType w:val="hybridMultilevel"/>
    <w:tmpl w:val="9FE47058"/>
    <w:lvl w:ilvl="0" w:tplc="04090001">
      <w:start w:val="1"/>
      <w:numFmt w:val="bullet"/>
      <w:lvlText w:val=""/>
      <w:lvlJc w:val="left"/>
      <w:pPr>
        <w:ind w:left="840" w:hanging="360"/>
        <w:jc w:val="left"/>
      </w:pPr>
      <w:rPr>
        <w:rFonts w:ascii="Symbol" w:hAnsi="Symbol" w:hint="default"/>
        <w:b w:val="0"/>
        <w:bCs w:val="0"/>
        <w:i w:val="0"/>
        <w:iCs w:val="0"/>
        <w:spacing w:val="-4"/>
        <w:w w:val="98"/>
        <w:sz w:val="24"/>
        <w:szCs w:val="24"/>
        <w:lang w:val="en-US" w:eastAsia="en-US" w:bidi="ar-SA"/>
      </w:rPr>
    </w:lvl>
    <w:lvl w:ilvl="1" w:tplc="FFFFFFFF">
      <w:numFmt w:val="bullet"/>
      <w:lvlText w:val="•"/>
      <w:lvlJc w:val="left"/>
      <w:pPr>
        <w:ind w:left="1850" w:hanging="360"/>
      </w:pPr>
      <w:rPr>
        <w:rFonts w:hint="default"/>
        <w:lang w:val="en-US" w:eastAsia="en-US" w:bidi="ar-SA"/>
      </w:rPr>
    </w:lvl>
    <w:lvl w:ilvl="2" w:tplc="FFFFFFFF">
      <w:numFmt w:val="bullet"/>
      <w:lvlText w:val="•"/>
      <w:lvlJc w:val="left"/>
      <w:pPr>
        <w:ind w:left="2860" w:hanging="360"/>
      </w:pPr>
      <w:rPr>
        <w:rFonts w:hint="default"/>
        <w:lang w:val="en-US" w:eastAsia="en-US" w:bidi="ar-SA"/>
      </w:rPr>
    </w:lvl>
    <w:lvl w:ilvl="3" w:tplc="FFFFFFFF">
      <w:numFmt w:val="bullet"/>
      <w:lvlText w:val="•"/>
      <w:lvlJc w:val="left"/>
      <w:pPr>
        <w:ind w:left="3870" w:hanging="360"/>
      </w:pPr>
      <w:rPr>
        <w:rFonts w:hint="default"/>
        <w:lang w:val="en-US" w:eastAsia="en-US" w:bidi="ar-SA"/>
      </w:rPr>
    </w:lvl>
    <w:lvl w:ilvl="4" w:tplc="FFFFFFFF">
      <w:numFmt w:val="bullet"/>
      <w:lvlText w:val="•"/>
      <w:lvlJc w:val="left"/>
      <w:pPr>
        <w:ind w:left="4880" w:hanging="360"/>
      </w:pPr>
      <w:rPr>
        <w:rFonts w:hint="default"/>
        <w:lang w:val="en-US" w:eastAsia="en-US" w:bidi="ar-SA"/>
      </w:rPr>
    </w:lvl>
    <w:lvl w:ilvl="5" w:tplc="FFFFFFFF">
      <w:numFmt w:val="bullet"/>
      <w:lvlText w:val="•"/>
      <w:lvlJc w:val="left"/>
      <w:pPr>
        <w:ind w:left="5890" w:hanging="360"/>
      </w:pPr>
      <w:rPr>
        <w:rFonts w:hint="default"/>
        <w:lang w:val="en-US" w:eastAsia="en-US" w:bidi="ar-SA"/>
      </w:rPr>
    </w:lvl>
    <w:lvl w:ilvl="6" w:tplc="FFFFFFFF">
      <w:numFmt w:val="bullet"/>
      <w:lvlText w:val="•"/>
      <w:lvlJc w:val="left"/>
      <w:pPr>
        <w:ind w:left="6900" w:hanging="360"/>
      </w:pPr>
      <w:rPr>
        <w:rFonts w:hint="default"/>
        <w:lang w:val="en-US" w:eastAsia="en-US" w:bidi="ar-SA"/>
      </w:rPr>
    </w:lvl>
    <w:lvl w:ilvl="7" w:tplc="FFFFFFFF">
      <w:numFmt w:val="bullet"/>
      <w:lvlText w:val="•"/>
      <w:lvlJc w:val="left"/>
      <w:pPr>
        <w:ind w:left="7910" w:hanging="360"/>
      </w:pPr>
      <w:rPr>
        <w:rFonts w:hint="default"/>
        <w:lang w:val="en-US" w:eastAsia="en-US" w:bidi="ar-SA"/>
      </w:rPr>
    </w:lvl>
    <w:lvl w:ilvl="8" w:tplc="FFFFFFFF">
      <w:numFmt w:val="bullet"/>
      <w:lvlText w:val="•"/>
      <w:lvlJc w:val="left"/>
      <w:pPr>
        <w:ind w:left="8920" w:hanging="360"/>
      </w:pPr>
      <w:rPr>
        <w:rFonts w:hint="default"/>
        <w:lang w:val="en-US" w:eastAsia="en-US" w:bidi="ar-SA"/>
      </w:rPr>
    </w:lvl>
  </w:abstractNum>
  <w:abstractNum w:abstractNumId="2" w15:restartNumberingAfterBreak="0">
    <w:nsid w:val="73F2602F"/>
    <w:multiLevelType w:val="hybridMultilevel"/>
    <w:tmpl w:val="613461E2"/>
    <w:lvl w:ilvl="0" w:tplc="910E4EF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1" w:tplc="8B4EA34A">
      <w:numFmt w:val="bullet"/>
      <w:lvlText w:val="•"/>
      <w:lvlJc w:val="left"/>
      <w:pPr>
        <w:ind w:left="1850" w:hanging="360"/>
      </w:pPr>
      <w:rPr>
        <w:rFonts w:hint="default"/>
        <w:lang w:val="en-US" w:eastAsia="en-US" w:bidi="ar-SA"/>
      </w:rPr>
    </w:lvl>
    <w:lvl w:ilvl="2" w:tplc="CBC49ABC">
      <w:numFmt w:val="bullet"/>
      <w:lvlText w:val="•"/>
      <w:lvlJc w:val="left"/>
      <w:pPr>
        <w:ind w:left="2860" w:hanging="360"/>
      </w:pPr>
      <w:rPr>
        <w:rFonts w:hint="default"/>
        <w:lang w:val="en-US" w:eastAsia="en-US" w:bidi="ar-SA"/>
      </w:rPr>
    </w:lvl>
    <w:lvl w:ilvl="3" w:tplc="BAB2B51C">
      <w:numFmt w:val="bullet"/>
      <w:lvlText w:val="•"/>
      <w:lvlJc w:val="left"/>
      <w:pPr>
        <w:ind w:left="3870" w:hanging="360"/>
      </w:pPr>
      <w:rPr>
        <w:rFonts w:hint="default"/>
        <w:lang w:val="en-US" w:eastAsia="en-US" w:bidi="ar-SA"/>
      </w:rPr>
    </w:lvl>
    <w:lvl w:ilvl="4" w:tplc="9B046232">
      <w:numFmt w:val="bullet"/>
      <w:lvlText w:val="•"/>
      <w:lvlJc w:val="left"/>
      <w:pPr>
        <w:ind w:left="4880" w:hanging="360"/>
      </w:pPr>
      <w:rPr>
        <w:rFonts w:hint="default"/>
        <w:lang w:val="en-US" w:eastAsia="en-US" w:bidi="ar-SA"/>
      </w:rPr>
    </w:lvl>
    <w:lvl w:ilvl="5" w:tplc="7A685D5A">
      <w:numFmt w:val="bullet"/>
      <w:lvlText w:val="•"/>
      <w:lvlJc w:val="left"/>
      <w:pPr>
        <w:ind w:left="5890" w:hanging="360"/>
      </w:pPr>
      <w:rPr>
        <w:rFonts w:hint="default"/>
        <w:lang w:val="en-US" w:eastAsia="en-US" w:bidi="ar-SA"/>
      </w:rPr>
    </w:lvl>
    <w:lvl w:ilvl="6" w:tplc="E06877B8">
      <w:numFmt w:val="bullet"/>
      <w:lvlText w:val="•"/>
      <w:lvlJc w:val="left"/>
      <w:pPr>
        <w:ind w:left="6900" w:hanging="360"/>
      </w:pPr>
      <w:rPr>
        <w:rFonts w:hint="default"/>
        <w:lang w:val="en-US" w:eastAsia="en-US" w:bidi="ar-SA"/>
      </w:rPr>
    </w:lvl>
    <w:lvl w:ilvl="7" w:tplc="66D8CAF6">
      <w:numFmt w:val="bullet"/>
      <w:lvlText w:val="•"/>
      <w:lvlJc w:val="left"/>
      <w:pPr>
        <w:ind w:left="7910" w:hanging="360"/>
      </w:pPr>
      <w:rPr>
        <w:rFonts w:hint="default"/>
        <w:lang w:val="en-US" w:eastAsia="en-US" w:bidi="ar-SA"/>
      </w:rPr>
    </w:lvl>
    <w:lvl w:ilvl="8" w:tplc="B51A2266">
      <w:numFmt w:val="bullet"/>
      <w:lvlText w:val="•"/>
      <w:lvlJc w:val="left"/>
      <w:pPr>
        <w:ind w:left="8920" w:hanging="360"/>
      </w:pPr>
      <w:rPr>
        <w:rFonts w:hint="default"/>
        <w:lang w:val="en-US" w:eastAsia="en-US" w:bidi="ar-SA"/>
      </w:rPr>
    </w:lvl>
  </w:abstractNum>
  <w:num w:numId="1" w16cid:durableId="257909495">
    <w:abstractNumId w:val="0"/>
  </w:num>
  <w:num w:numId="2" w16cid:durableId="2033067299">
    <w:abstractNumId w:val="2"/>
  </w:num>
  <w:num w:numId="3" w16cid:durableId="1054890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2FF"/>
    <w:rsid w:val="000121D5"/>
    <w:rsid w:val="000C16B9"/>
    <w:rsid w:val="00124D6A"/>
    <w:rsid w:val="001B680B"/>
    <w:rsid w:val="001C3DAB"/>
    <w:rsid w:val="002A4622"/>
    <w:rsid w:val="002C1C7F"/>
    <w:rsid w:val="002E1B9B"/>
    <w:rsid w:val="0034744C"/>
    <w:rsid w:val="00350143"/>
    <w:rsid w:val="004223AE"/>
    <w:rsid w:val="005816DF"/>
    <w:rsid w:val="005B4014"/>
    <w:rsid w:val="005C0886"/>
    <w:rsid w:val="005C57EC"/>
    <w:rsid w:val="00630252"/>
    <w:rsid w:val="00632FA2"/>
    <w:rsid w:val="0068345D"/>
    <w:rsid w:val="0071423E"/>
    <w:rsid w:val="00720AA6"/>
    <w:rsid w:val="00787360"/>
    <w:rsid w:val="008171D1"/>
    <w:rsid w:val="008668BA"/>
    <w:rsid w:val="00967290"/>
    <w:rsid w:val="009D0457"/>
    <w:rsid w:val="009E102E"/>
    <w:rsid w:val="00AE3FB7"/>
    <w:rsid w:val="00B37CD7"/>
    <w:rsid w:val="00C3156A"/>
    <w:rsid w:val="00CE653B"/>
    <w:rsid w:val="00D6585F"/>
    <w:rsid w:val="00DD6A33"/>
    <w:rsid w:val="00DE7B9C"/>
    <w:rsid w:val="00E51065"/>
    <w:rsid w:val="00E86BDA"/>
    <w:rsid w:val="00E94147"/>
    <w:rsid w:val="00EB5398"/>
    <w:rsid w:val="00FA12FF"/>
    <w:rsid w:val="00FB69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7B474"/>
  <w15:docId w15:val="{1B29208F-90EC-4143-970B-AAD23492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Times New Roman" w:cs="Times New Roman"/>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89"/>
      <w:ind w:left="2187" w:right="2090"/>
      <w:jc w:val="center"/>
    </w:pPr>
    <w:rPr>
      <w:b/>
      <w:bCs/>
      <w:sz w:val="28"/>
      <w:szCs w:val="28"/>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Revision">
    <w:name w:val="Revision"/>
    <w:hidden/>
    <w:uiPriority w:val="99"/>
    <w:semiHidden/>
    <w:rsid w:val="009D0457"/>
    <w:pPr>
      <w:widowControl/>
      <w:autoSpaceDE/>
      <w:autoSpaceDN/>
    </w:pPr>
    <w:rPr>
      <w:rFonts w:ascii="Arial" w:eastAsia="Times New Roman" w:hAnsi="Times New Roman" w:cs="Times New Roman"/>
    </w:rPr>
  </w:style>
  <w:style w:type="character" w:styleId="CommentReference">
    <w:name w:val="annotation reference"/>
    <w:basedOn w:val="DefaultParagraphFont"/>
    <w:uiPriority w:val="99"/>
    <w:semiHidden/>
    <w:unhideWhenUsed/>
    <w:rsid w:val="009D0457"/>
    <w:rPr>
      <w:sz w:val="16"/>
      <w:szCs w:val="16"/>
    </w:rPr>
  </w:style>
  <w:style w:type="paragraph" w:styleId="CommentText">
    <w:name w:val="annotation text"/>
    <w:basedOn w:val="Normal"/>
    <w:link w:val="CommentTextChar"/>
    <w:uiPriority w:val="99"/>
    <w:unhideWhenUsed/>
    <w:rsid w:val="009D0457"/>
    <w:rPr>
      <w:sz w:val="20"/>
      <w:szCs w:val="20"/>
    </w:rPr>
  </w:style>
  <w:style w:type="character" w:customStyle="1" w:styleId="CommentTextChar">
    <w:name w:val="Comment Text Char"/>
    <w:basedOn w:val="DefaultParagraphFont"/>
    <w:link w:val="CommentText"/>
    <w:uiPriority w:val="99"/>
    <w:rsid w:val="009D0457"/>
    <w:rPr>
      <w:rFonts w:ascii="Arial"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D0457"/>
    <w:rPr>
      <w:b/>
      <w:bCs/>
    </w:rPr>
  </w:style>
  <w:style w:type="character" w:customStyle="1" w:styleId="CommentSubjectChar">
    <w:name w:val="Comment Subject Char"/>
    <w:basedOn w:val="CommentTextChar"/>
    <w:link w:val="CommentSubject"/>
    <w:uiPriority w:val="99"/>
    <w:semiHidden/>
    <w:rsid w:val="009D0457"/>
    <w:rPr>
      <w:rFonts w:ascii="Arial" w:eastAsia="Times New Roman" w:hAnsi="Times New Roman" w:cs="Times New Roman"/>
      <w:b/>
      <w:bCs/>
      <w:sz w:val="20"/>
      <w:szCs w:val="20"/>
    </w:rPr>
  </w:style>
  <w:style w:type="character" w:styleId="Hyperlink">
    <w:name w:val="Hyperlink"/>
    <w:basedOn w:val="DefaultParagraphFont"/>
    <w:uiPriority w:val="99"/>
    <w:unhideWhenUsed/>
    <w:rsid w:val="00350143"/>
    <w:rPr>
      <w:color w:val="0000FF" w:themeColor="hyperlink"/>
      <w:u w:val="single"/>
    </w:rPr>
  </w:style>
  <w:style w:type="character" w:styleId="UnresolvedMention">
    <w:name w:val="Unresolved Mention"/>
    <w:basedOn w:val="DefaultParagraphFont"/>
    <w:uiPriority w:val="99"/>
    <w:semiHidden/>
    <w:unhideWhenUsed/>
    <w:rsid w:val="00350143"/>
    <w:rPr>
      <w:color w:val="605E5C"/>
      <w:shd w:val="clear" w:color="auto" w:fill="E1DFDD"/>
    </w:rPr>
  </w:style>
  <w:style w:type="paragraph" w:styleId="Header">
    <w:name w:val="header"/>
    <w:basedOn w:val="Normal"/>
    <w:link w:val="HeaderChar"/>
    <w:uiPriority w:val="99"/>
    <w:unhideWhenUsed/>
    <w:rsid w:val="005816DF"/>
    <w:pPr>
      <w:tabs>
        <w:tab w:val="center" w:pos="4680"/>
        <w:tab w:val="right" w:pos="9360"/>
      </w:tabs>
    </w:pPr>
  </w:style>
  <w:style w:type="character" w:customStyle="1" w:styleId="HeaderChar">
    <w:name w:val="Header Char"/>
    <w:basedOn w:val="DefaultParagraphFont"/>
    <w:link w:val="Header"/>
    <w:uiPriority w:val="99"/>
    <w:rsid w:val="005816DF"/>
    <w:rPr>
      <w:rFonts w:ascii="Arial" w:eastAsia="Times New Roman" w:hAnsi="Times New Roman" w:cs="Times New Roman"/>
    </w:rPr>
  </w:style>
  <w:style w:type="paragraph" w:styleId="Footer">
    <w:name w:val="footer"/>
    <w:basedOn w:val="Normal"/>
    <w:link w:val="FooterChar"/>
    <w:uiPriority w:val="99"/>
    <w:unhideWhenUsed/>
    <w:rsid w:val="005816DF"/>
    <w:pPr>
      <w:tabs>
        <w:tab w:val="center" w:pos="4680"/>
        <w:tab w:val="right" w:pos="9360"/>
      </w:tabs>
    </w:pPr>
  </w:style>
  <w:style w:type="character" w:customStyle="1" w:styleId="FooterChar">
    <w:name w:val="Footer Char"/>
    <w:basedOn w:val="DefaultParagraphFont"/>
    <w:link w:val="Footer"/>
    <w:uiPriority w:val="99"/>
    <w:rsid w:val="005816DF"/>
    <w:rPr>
      <w:rFonts w:ascii="Arial"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edicare.gov/about-us/accessibility-nondiscrimination-no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Medicare Prescription Drug Coverage and Your Rights</vt:lpstr>
    </vt:vector>
  </TitlesOfParts>
  <Company>Center For Medicaid Services</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Prescription Drug Coverage and Your Rights</dc:title>
  <dc:subject>Prescription Drug Coverage RIghts</dc:subject>
  <dc:creator>CMS/CM/MEAG/DAP</dc:creator>
  <cp:keywords>prescription, drug, rights, coverage</cp:keywords>
  <cp:lastModifiedBy>Edmonston, Sabrina (CMS/CM)</cp:lastModifiedBy>
  <cp:revision>14</cp:revision>
  <dcterms:created xsi:type="dcterms:W3CDTF">2024-04-19T15:09:00Z</dcterms:created>
  <dcterms:modified xsi:type="dcterms:W3CDTF">2025-02-04T14:53:00Z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2020-12-31T00:00:00Z</vt:filetime>
  </property>
  <property fmtid="{D5CDD505-2E9C-101B-9397-08002B2CF9AE}" pid="3" name="Creator">
    <vt:lpwstr>Acrobat PDFMaker 17 for Word</vt:lpwstr>
  </property>
  <property fmtid="{D5CDD505-2E9C-101B-9397-08002B2CF9AE}" pid="4" name="LastSaved">
    <vt:filetime>2022-02-22T00:00:00Z</vt:filetime>
  </property>
</Properties>
</file>